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27" w:rsidRPr="008C2DE6" w:rsidRDefault="007C3727" w:rsidP="007C3727">
      <w:pPr>
        <w:widowControl/>
        <w:spacing w:before="100" w:beforeAutospacing="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r w:rsidRPr="008C2DE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臺南市北區文元國民小學資源回收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暨</w:t>
      </w:r>
      <w:r w:rsidRPr="008C2DE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垃圾減量實施計畫</w:t>
      </w:r>
    </w:p>
    <w:tbl>
      <w:tblPr>
        <w:tblW w:w="535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7"/>
      </w:tblGrid>
      <w:tr w:rsidR="007C3727" w:rsidRPr="0028074E" w:rsidTr="00850B84">
        <w:trPr>
          <w:tblCellSpacing w:w="15" w:type="dxa"/>
          <w:jc w:val="center"/>
        </w:trPr>
        <w:tc>
          <w:tcPr>
            <w:tcW w:w="4973" w:type="pct"/>
            <w:vAlign w:val="center"/>
            <w:hideMark/>
          </w:tcPr>
          <w:bookmarkEnd w:id="0"/>
          <w:p w:rsidR="007C3727" w:rsidRPr="0028074E" w:rsidRDefault="007C3727" w:rsidP="00850B84">
            <w:pPr>
              <w:widowControl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壹、依據：</w:t>
            </w:r>
          </w:p>
          <w:p w:rsidR="007C3727" w:rsidRPr="0028074E" w:rsidRDefault="007C3727" w:rsidP="00850B84">
            <w:pPr>
              <w:widowControl/>
              <w:ind w:left="1080" w:hanging="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一、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本校推行校園之資源回收實施辦法。</w:t>
            </w:r>
          </w:p>
          <w:p w:rsidR="007C3727" w:rsidRPr="0028074E" w:rsidRDefault="007C3727" w:rsidP="00850B84">
            <w:pPr>
              <w:widowControl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貳、目的：</w:t>
            </w:r>
          </w:p>
          <w:p w:rsidR="007C3727" w:rsidRPr="0028074E" w:rsidRDefault="007C3727" w:rsidP="00850B84">
            <w:pPr>
              <w:widowControl/>
              <w:ind w:left="1080" w:hanging="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一、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配合環保教育，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養成垃圾分類習慣，減少垃圾量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，並</w:t>
            </w:r>
            <w:r w:rsidRPr="006217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回收可利用之資源，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落實資源回收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7C3727" w:rsidRDefault="007C3727" w:rsidP="00850B84">
            <w:pPr>
              <w:widowControl/>
              <w:ind w:left="1080" w:hanging="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二、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推廣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資源回收觀念，由學校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進行宣導，期望師生一同愛護地球，促進生活品質的提升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7C3727" w:rsidRPr="0028074E" w:rsidRDefault="007C3727" w:rsidP="00850B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參、辦理單位：文元國小學務處衛生組</w:t>
            </w:r>
          </w:p>
          <w:p w:rsidR="007C3727" w:rsidRDefault="007C3727" w:rsidP="00850B84">
            <w:pPr>
              <w:widowControl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肆、實施對象：全校師生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7C3727" w:rsidRPr="0028074E" w:rsidRDefault="007C3727" w:rsidP="00850B84">
            <w:pPr>
              <w:widowControl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伍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、實施期程：本計畫自即日起長期實施。</w:t>
            </w:r>
          </w:p>
          <w:p w:rsidR="007C3727" w:rsidRPr="0028074E" w:rsidRDefault="007C3727" w:rsidP="00850B84">
            <w:pPr>
              <w:widowControl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陸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、實施方法：</w:t>
            </w:r>
          </w:p>
          <w:p w:rsidR="007C3727" w:rsidRDefault="007C3727" w:rsidP="00850B84">
            <w:pPr>
              <w:widowControl/>
              <w:ind w:left="1080" w:hanging="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一、</w:t>
            </w:r>
            <w:r w:rsidRPr="006217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（一）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班級每天進行資源垃圾分類，於每週二、五上午打掃時間，</w:t>
            </w:r>
            <w:r w:rsidRPr="006217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將資源垃圾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集中至資源回收</w:t>
            </w:r>
          </w:p>
          <w:p w:rsidR="007C3727" w:rsidRPr="00621756" w:rsidRDefault="007C3727" w:rsidP="00850B84">
            <w:pPr>
              <w:widowControl/>
              <w:ind w:left="1080" w:hanging="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室，並由環保志工協助引導。</w:t>
            </w:r>
            <w:r w:rsidRPr="006217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收給回收商。</w:t>
            </w:r>
          </w:p>
          <w:p w:rsidR="007C3727" w:rsidRPr="00621756" w:rsidRDefault="007C3727" w:rsidP="00850B84">
            <w:pPr>
              <w:widowControl/>
              <w:ind w:left="1080" w:hanging="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</w:t>
            </w:r>
            <w:r w:rsidRPr="006217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（二）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每兩星期會由回收廠商來收資源回收物，並在月底</w:t>
            </w:r>
            <w:r w:rsidRPr="006217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統計回收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重量及回收所得</w:t>
            </w:r>
            <w:r w:rsidRPr="006217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7C3727" w:rsidRDefault="007C3727" w:rsidP="00850B84">
            <w:pPr>
              <w:widowControl/>
              <w:ind w:left="1080" w:hanging="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</w:t>
            </w:r>
            <w:r w:rsidRPr="006217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（三）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成立衛生糾察隊，並於學校倒垃圾時間協助開袋檢查，查看</w:t>
            </w:r>
            <w:r w:rsidRPr="006217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一般垃圾內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是否含資源垃圾</w:t>
            </w:r>
            <w:r w:rsidRPr="006217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</w:p>
          <w:p w:rsidR="007C3727" w:rsidRPr="0028074E" w:rsidRDefault="007C3727" w:rsidP="00850B84">
            <w:pPr>
              <w:widowControl/>
              <w:ind w:left="1080" w:hanging="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以期將資源回收更徹底的落實。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 xml:space="preserve">　</w:t>
            </w:r>
          </w:p>
          <w:p w:rsidR="007C3727" w:rsidRPr="0028074E" w:rsidRDefault="007C3727" w:rsidP="00850B84">
            <w:pPr>
              <w:widowControl/>
              <w:ind w:left="1083" w:hanging="60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二、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垃圾分類明細及處置方法：</w:t>
            </w:r>
          </w:p>
          <w:tbl>
            <w:tblPr>
              <w:tblW w:w="107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4"/>
              <w:gridCol w:w="1278"/>
              <w:gridCol w:w="5495"/>
              <w:gridCol w:w="1811"/>
            </w:tblGrid>
            <w:tr w:rsidR="007C3727" w:rsidRPr="0028074E" w:rsidTr="00850B84">
              <w:trPr>
                <w:trHeight w:val="47"/>
                <w:tblHeader/>
              </w:trPr>
              <w:tc>
                <w:tcPr>
                  <w:tcW w:w="2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分類</w:t>
                  </w:r>
                </w:p>
              </w:tc>
              <w:tc>
                <w:tcPr>
                  <w:tcW w:w="67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內容</w:t>
                  </w:r>
                </w:p>
              </w:tc>
              <w:tc>
                <w:tcPr>
                  <w:tcW w:w="1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處理方法</w:t>
                  </w:r>
                </w:p>
              </w:tc>
            </w:tr>
            <w:tr w:rsidR="007C3727" w:rsidRPr="0028074E" w:rsidTr="00850B84">
              <w:trPr>
                <w:trHeight w:val="71"/>
              </w:trPr>
              <w:tc>
                <w:tcPr>
                  <w:tcW w:w="213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3727" w:rsidRPr="0028074E" w:rsidRDefault="007C3727" w:rsidP="00850B84">
                  <w:pPr>
                    <w:widowControl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資源垃圾</w:t>
                  </w:r>
                </w:p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紙類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報紙、影印紙、牛皮紙、廣告紙、包裝紙、舊書、便條、碎紙片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班級</w:t>
                  </w: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先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進行</w:t>
                  </w: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初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部的垃圾分類存放在教室的資源回收統，在每週二及週五資源回收時間集中到資源回收室</w:t>
                  </w: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，並依其分類整理。</w:t>
                  </w:r>
                </w:p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6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厚紙(紙箱)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18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紙容器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牛奶盒、果汁盒、紙杯、紙便當盒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18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鐵罐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飲料罐、奶粉罐、餅乾盒、油漆罐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18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鋁罐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飲料罐、鋁蓋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18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3727" w:rsidRPr="0028074E" w:rsidRDefault="007C3727" w:rsidP="00850B84">
                  <w:pPr>
                    <w:widowControl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塑膠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塑膠容器、塑膠製品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18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寶特瓶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18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乾淨的塑膠袋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18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玻璃瓶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飲料、顏料瓶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23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鋁箔包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飲料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23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保麗龍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47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電器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47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6293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吸管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47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7C3727" w:rsidRPr="0028074E" w:rsidRDefault="007C3727" w:rsidP="00850B84">
                  <w:pPr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6293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CD光碟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7C3727" w:rsidRPr="0028074E" w:rsidRDefault="007C3727" w:rsidP="00850B8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18"/>
              </w:trPr>
              <w:tc>
                <w:tcPr>
                  <w:tcW w:w="213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3727" w:rsidRPr="0028074E" w:rsidRDefault="007C3727" w:rsidP="00850B84">
                  <w:pPr>
                    <w:widowControl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廢棄</w:t>
                  </w: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電池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18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照明光源</w:t>
                  </w:r>
                </w:p>
              </w:tc>
              <w:tc>
                <w:tcPr>
                  <w:tcW w:w="181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C3727" w:rsidRPr="0028074E" w:rsidTr="00850B84">
              <w:trPr>
                <w:trHeight w:val="240"/>
              </w:trPr>
              <w:tc>
                <w:tcPr>
                  <w:tcW w:w="2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3727" w:rsidRPr="0028074E" w:rsidRDefault="007C3727" w:rsidP="00850B84">
                  <w:pPr>
                    <w:widowControl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非資源垃圾</w:t>
                  </w:r>
                </w:p>
              </w:tc>
              <w:tc>
                <w:tcPr>
                  <w:tcW w:w="6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非上述類別之一般垃圾</w:t>
                  </w:r>
                </w:p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暫存於班級垃圾筒，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在每天上午及下午的打掃時間送至校園設置之高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lastRenderedPageBreak/>
                    <w:t>價垃圾場丟棄，並寫上班級以示負責。</w:t>
                  </w:r>
                </w:p>
              </w:tc>
            </w:tr>
            <w:tr w:rsidR="007C3727" w:rsidRPr="0028074E" w:rsidTr="00850B84">
              <w:trPr>
                <w:trHeight w:val="240"/>
              </w:trPr>
              <w:tc>
                <w:tcPr>
                  <w:tcW w:w="1071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3727" w:rsidRPr="0028074E" w:rsidRDefault="007C3727" w:rsidP="00850B8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8074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lastRenderedPageBreak/>
                    <w:t>注意事項：</w:t>
                  </w:r>
                </w:p>
                <w:p w:rsidR="007C3727" w:rsidRPr="00E85BF2" w:rsidRDefault="007C3727" w:rsidP="007C3727">
                  <w:pPr>
                    <w:pStyle w:val="a4"/>
                    <w:widowControl/>
                    <w:numPr>
                      <w:ilvl w:val="0"/>
                      <w:numId w:val="2"/>
                    </w:numPr>
                    <w:ind w:leftChars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85BF2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所有垃圾先進行分類，再以縮小體積為原則處置後，集中至高架垃圾場以及資源回</w:t>
                  </w:r>
                </w:p>
                <w:p w:rsidR="007C3727" w:rsidRPr="00E85BF2" w:rsidRDefault="007C3727" w:rsidP="00850B84">
                  <w:pPr>
                    <w:pStyle w:val="a4"/>
                    <w:widowControl/>
                    <w:ind w:leftChars="0" w:left="102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85BF2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收室。</w:t>
                  </w:r>
                </w:p>
                <w:p w:rsidR="007C3727" w:rsidRPr="00E85BF2" w:rsidRDefault="007C3727" w:rsidP="007C3727">
                  <w:pPr>
                    <w:pStyle w:val="a4"/>
                    <w:widowControl/>
                    <w:numPr>
                      <w:ilvl w:val="0"/>
                      <w:numId w:val="2"/>
                    </w:numPr>
                    <w:ind w:leftChars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85BF2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各類可回收之容器應先沖洗或擦拭，同樣縮小體積為原則處置後，再放入指定之回</w:t>
                  </w:r>
                </w:p>
                <w:p w:rsidR="007C3727" w:rsidRPr="00E85BF2" w:rsidRDefault="007C3727" w:rsidP="00850B84">
                  <w:pPr>
                    <w:pStyle w:val="a4"/>
                    <w:widowControl/>
                    <w:ind w:leftChars="0" w:left="102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收袋</w:t>
                  </w:r>
                  <w:r w:rsidRPr="00E85BF2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</w:tbl>
          <w:p w:rsidR="007C3727" w:rsidRDefault="007C3727" w:rsidP="00850B84">
            <w:pPr>
              <w:widowControl/>
              <w:ind w:left="1080" w:hanging="6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7C3727" w:rsidRPr="0028074E" w:rsidRDefault="007C3727" w:rsidP="00850B84">
            <w:pPr>
              <w:widowControl/>
              <w:ind w:left="1080" w:hanging="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三、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宣導工作：</w:t>
            </w:r>
          </w:p>
          <w:p w:rsidR="007C3727" w:rsidRPr="0028074E" w:rsidRDefault="007C3727" w:rsidP="00850B84">
            <w:pPr>
              <w:widowControl/>
              <w:ind w:left="1350" w:hanging="3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(一)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開學第一次晨會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向各班級導師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進行各項宣導與回收流程說明。</w:t>
            </w:r>
          </w:p>
          <w:p w:rsidR="007C3727" w:rsidRPr="0028074E" w:rsidRDefault="007C3727" w:rsidP="00850B84">
            <w:pPr>
              <w:widowControl/>
              <w:ind w:left="1350" w:hanging="3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(二)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級任導師應指導並交付學生資源回收工作之職責。</w:t>
            </w:r>
          </w:p>
          <w:p w:rsidR="007C3727" w:rsidRPr="0028074E" w:rsidRDefault="007C3727" w:rsidP="00850B84">
            <w:pPr>
              <w:widowControl/>
              <w:ind w:left="144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(三)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訓練衛生糾察隊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舉發破壞環保學生、檢核班級環境衛生之職責。</w:t>
            </w:r>
          </w:p>
          <w:p w:rsidR="007C3727" w:rsidRDefault="007C3727" w:rsidP="00850B84">
            <w:pPr>
              <w:widowControl/>
              <w:ind w:left="144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(四)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在校園的網站</w:t>
            </w:r>
            <w:r w:rsidRPr="00E85BF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宣導環保常識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，增置環保教育資料、提供師生增進知識的平台。</w:t>
            </w:r>
          </w:p>
          <w:p w:rsidR="007C3727" w:rsidRPr="0028074E" w:rsidRDefault="007C3727" w:rsidP="00850B84">
            <w:pPr>
              <w:widowControl/>
              <w:ind w:left="144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(五) 學務處衛生組協助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辦理環保教育相關競賽。</w:t>
            </w:r>
          </w:p>
          <w:p w:rsidR="007C3727" w:rsidRPr="0028074E" w:rsidRDefault="007C3727" w:rsidP="00850B84">
            <w:pPr>
              <w:widowControl/>
              <w:ind w:left="1080" w:hanging="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四、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回收作業流程：</w:t>
            </w:r>
          </w:p>
          <w:p w:rsidR="007C3727" w:rsidRPr="0028074E" w:rsidRDefault="007C3727" w:rsidP="00850B84">
            <w:pPr>
              <w:widowControl/>
              <w:ind w:left="144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(一)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宣導實施後，由師生在校共同實施，於每週二、每週五上午七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四十分至七時五十五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由各班級將回收資源匯集於資源回收室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7C3727" w:rsidRDefault="007C3727" w:rsidP="00850B84">
            <w:pPr>
              <w:widowControl/>
              <w:ind w:left="1350" w:hanging="3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(二)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學務處衛生組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應向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協助回收的志工、全校師生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說明回收工作細節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，並訓練衛生糾察隊予以協</w:t>
            </w:r>
          </w:p>
          <w:p w:rsidR="007C3727" w:rsidRPr="0028074E" w:rsidRDefault="007C3727" w:rsidP="00850B84">
            <w:pPr>
              <w:widowControl/>
              <w:ind w:left="1350" w:hanging="3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助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7C3727" w:rsidRPr="0028074E" w:rsidRDefault="007C3727" w:rsidP="00850B84">
            <w:pPr>
              <w:widowControl/>
              <w:ind w:left="1350" w:hanging="3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(三)</w:t>
            </w:r>
            <w:r w:rsidRPr="0028074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舜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大回收商每兩個星期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定時到校清運，並開立回收統計表。</w:t>
            </w:r>
          </w:p>
          <w:p w:rsidR="007C3727" w:rsidRDefault="007C3727" w:rsidP="00850B84">
            <w:pPr>
              <w:widowControl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柒</w:t>
            </w:r>
            <w:r w:rsidRPr="002807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、本計畫經核定後實施，修正時亦同。</w:t>
            </w:r>
          </w:p>
          <w:p w:rsidR="007C3727" w:rsidRDefault="007C3727" w:rsidP="00850B84">
            <w:pPr>
              <w:widowControl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7C3727" w:rsidRPr="0028074E" w:rsidRDefault="007C3727" w:rsidP="00850B84">
            <w:pPr>
              <w:widowControl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51CD1" w:rsidRPr="007C3727" w:rsidRDefault="00C51CD1" w:rsidP="00B514F9">
      <w:pPr>
        <w:rPr>
          <w:rFonts w:hint="eastAsia"/>
        </w:rPr>
      </w:pPr>
    </w:p>
    <w:sectPr w:rsidR="00C51CD1" w:rsidRPr="007C3727" w:rsidSect="00A331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FF" w:rsidRDefault="00D465FF" w:rsidP="00150CE9">
      <w:r>
        <w:separator/>
      </w:r>
    </w:p>
  </w:endnote>
  <w:endnote w:type="continuationSeparator" w:id="0">
    <w:p w:rsidR="00D465FF" w:rsidRDefault="00D465FF" w:rsidP="0015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FF" w:rsidRDefault="00D465FF" w:rsidP="00150CE9">
      <w:r>
        <w:separator/>
      </w:r>
    </w:p>
  </w:footnote>
  <w:footnote w:type="continuationSeparator" w:id="0">
    <w:p w:rsidR="00D465FF" w:rsidRDefault="00D465FF" w:rsidP="0015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9FF"/>
    <w:multiLevelType w:val="hybridMultilevel"/>
    <w:tmpl w:val="279AA232"/>
    <w:lvl w:ilvl="0" w:tplc="E17048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7302B274">
      <w:start w:val="1"/>
      <w:numFmt w:val="taiwaneseCountingThousand"/>
      <w:lvlText w:val="（%2）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C81A02"/>
    <w:multiLevelType w:val="hybridMultilevel"/>
    <w:tmpl w:val="5AC49598"/>
    <w:lvl w:ilvl="0" w:tplc="7A188980">
      <w:start w:val="1"/>
      <w:numFmt w:val="decimal"/>
      <w:lvlText w:val="%1、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34"/>
    <w:rsid w:val="00007FE6"/>
    <w:rsid w:val="00062F4C"/>
    <w:rsid w:val="00115B15"/>
    <w:rsid w:val="00150CE9"/>
    <w:rsid w:val="00774334"/>
    <w:rsid w:val="007C3727"/>
    <w:rsid w:val="008F6C2B"/>
    <w:rsid w:val="009812F2"/>
    <w:rsid w:val="00A0041C"/>
    <w:rsid w:val="00A33134"/>
    <w:rsid w:val="00AD584D"/>
    <w:rsid w:val="00B514F9"/>
    <w:rsid w:val="00B60592"/>
    <w:rsid w:val="00B62087"/>
    <w:rsid w:val="00C51CD1"/>
    <w:rsid w:val="00D465FF"/>
    <w:rsid w:val="00F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5E2AC"/>
  <w15:chartTrackingRefBased/>
  <w15:docId w15:val="{36334D20-E516-4453-B753-70A38C5F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41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0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0C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0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0CE9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B6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350FECF158DD048932EFB7B22B67832" ma:contentTypeVersion="0" ma:contentTypeDescription="建立新的文件。" ma:contentTypeScope="" ma:versionID="76169a60fd29cb680fd578bb92df7e0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2DF9D6B-1369-4ABA-93A5-AE5250032E48}"/>
</file>

<file path=customXml/itemProps2.xml><?xml version="1.0" encoding="utf-8"?>
<ds:datastoreItem xmlns:ds="http://schemas.openxmlformats.org/officeDocument/2006/customXml" ds:itemID="{51C876A6-DCFD-42DD-BB29-42B31F7F1D9C}"/>
</file>

<file path=customXml/itemProps3.xml><?xml version="1.0" encoding="utf-8"?>
<ds:datastoreItem xmlns:ds="http://schemas.openxmlformats.org/officeDocument/2006/customXml" ds:itemID="{8C0849C4-F6D2-4E86-9FFF-A2AE672E9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陳憶雪</dc:creator>
  <cp:keywords/>
  <dc:description/>
  <cp:lastModifiedBy>陳憶雪</cp:lastModifiedBy>
  <cp:revision>2</cp:revision>
  <dcterms:created xsi:type="dcterms:W3CDTF">2016-09-12T07:44:00Z</dcterms:created>
  <dcterms:modified xsi:type="dcterms:W3CDTF">2016-09-12T07:44:00Z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0x010100A350FECF158DD048932EFB7B22B67832</vt:lpwstr>
  </property>
</Properties>
</file>